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附件1</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政府网站工作年度报表（样表）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4"/>
          <w:lang w:val="en-US" w:eastAsia="zh-CN"/>
        </w:rPr>
        <w:t>2021</w:t>
      </w:r>
      <w:r>
        <w:rPr>
          <w:rFonts w:hint="eastAsia" w:ascii="宋体" w:hAnsi="宋体" w:eastAsia="宋体" w:cs="宋体"/>
          <w:color w:val="333333"/>
          <w:kern w:val="0"/>
          <w:sz w:val="24"/>
          <w:szCs w:val="24"/>
        </w:rPr>
        <w:t>　年度）</w:t>
      </w:r>
    </w:p>
    <w:p>
      <w:pPr>
        <w:widowControl/>
        <w:shd w:val="clear" w:color="auto" w:fill="FFFFFF"/>
        <w:ind w:firstLine="480"/>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eastAsia="zh-CN"/>
        </w:rPr>
        <w:t>海口市退役军人事务局</w:t>
      </w:r>
    </w:p>
    <w:tbl>
      <w:tblPr>
        <w:tblStyle w:val="5"/>
        <w:tblW w:w="9518" w:type="dxa"/>
        <w:jc w:val="center"/>
        <w:tblLayout w:type="autofit"/>
        <w:tblCellMar>
          <w:top w:w="0" w:type="dxa"/>
          <w:left w:w="0" w:type="dxa"/>
          <w:bottom w:w="0" w:type="dxa"/>
          <w:right w:w="0" w:type="dxa"/>
        </w:tblCellMar>
      </w:tblPr>
      <w:tblGrid>
        <w:gridCol w:w="2004"/>
        <w:gridCol w:w="2976"/>
        <w:gridCol w:w="2607"/>
        <w:gridCol w:w="1931"/>
      </w:tblGrid>
      <w:tr>
        <w:tblPrEx>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5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eastAsia="zh-CN"/>
              </w:rPr>
              <w:t>海口市退役军人事务局</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http://tyjr.haikou.gov.cn/</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海口市退役军人事务局</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政府门户网站　　　□部门网站　　　□专项网站</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4601000066 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2020005352号-1</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left="0" w:leftChars="0"/>
              <w:jc w:val="center"/>
              <w:rPr>
                <w:rFonts w:ascii="Calibri" w:hAnsi="Calibri" w:eastAsia="宋体" w:cs="Calibri"/>
                <w:kern w:val="0"/>
                <w:szCs w:val="21"/>
              </w:rPr>
            </w:pPr>
            <w:r>
              <w:rPr>
                <w:rFonts w:hint="eastAsia" w:ascii="Calibri" w:hAnsi="Calibri" w:eastAsia="宋体" w:cs="Calibri"/>
                <w:kern w:val="0"/>
                <w:sz w:val="20"/>
                <w:szCs w:val="20"/>
                <w:lang w:val="en-US" w:eastAsia="zh-CN"/>
              </w:rPr>
              <w:t>46010502000492号</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独立用户访问总量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5944</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rPr>
              <w:t>19625</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662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251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335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76</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3</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29</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 w:val="20"/>
                <w:szCs w:val="20"/>
                <w:lang w:val="en-US" w:eastAsia="zh-CN"/>
              </w:rPr>
              <w:t>19</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ascii="Calibri" w:hAnsi="Calibri" w:eastAsia="宋体" w:cs="Calibri"/>
                <w:kern w:val="0"/>
                <w:sz w:val="20"/>
                <w:szCs w:val="20"/>
                <w:lang w:val="en-US" w:eastAsia="zh-CN"/>
              </w:rPr>
              <w:t>10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8</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4</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ascii="Calibri" w:hAnsi="Calibri" w:eastAsia="宋体" w:cs="Calibri"/>
                <w:kern w:val="0"/>
                <w:sz w:val="20"/>
                <w:szCs w:val="20"/>
              </w:rPr>
              <w:t> </w:t>
            </w:r>
            <w:r>
              <w:rPr>
                <w:rFonts w:hint="eastAsia" w:ascii="Calibri" w:hAnsi="Calibri" w:eastAsia="宋体" w:cs="Calibri"/>
                <w:kern w:val="0"/>
                <w:sz w:val="20"/>
                <w:szCs w:val="20"/>
                <w:lang w:eastAsia="zh-CN"/>
              </w:rPr>
              <w:t>海口市退役军人事务局</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lang w:val="en-US" w:eastAsia="zh-CN"/>
              </w:rPr>
              <w:t>296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1680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w:t>
            </w: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4"/>
          <w:szCs w:val="24"/>
        </w:rPr>
        <w:t> </w:t>
      </w:r>
    </w:p>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填报日期：</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ascii="宋体" w:hAnsi="宋体" w:eastAsia="宋体" w:cs="宋体"/>
          <w:b/>
          <w:bCs/>
          <w:color w:val="333333"/>
          <w:kern w:val="0"/>
          <w:sz w:val="24"/>
          <w:szCs w:val="24"/>
        </w:rPr>
        <w:t>2</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BD"/>
    <w:rsid w:val="0020014B"/>
    <w:rsid w:val="00297F61"/>
    <w:rsid w:val="00364BC3"/>
    <w:rsid w:val="004545C6"/>
    <w:rsid w:val="00545FC6"/>
    <w:rsid w:val="00576F01"/>
    <w:rsid w:val="006269C5"/>
    <w:rsid w:val="00830942"/>
    <w:rsid w:val="00853F34"/>
    <w:rsid w:val="00894864"/>
    <w:rsid w:val="00B32F4C"/>
    <w:rsid w:val="00B63D43"/>
    <w:rsid w:val="00BC4E2D"/>
    <w:rsid w:val="00C017BD"/>
    <w:rsid w:val="00CC424A"/>
    <w:rsid w:val="00EF11BD"/>
    <w:rsid w:val="02CD1F13"/>
    <w:rsid w:val="047F2D99"/>
    <w:rsid w:val="04DD73E2"/>
    <w:rsid w:val="08A47272"/>
    <w:rsid w:val="154C316C"/>
    <w:rsid w:val="163D2AB4"/>
    <w:rsid w:val="213D30BF"/>
    <w:rsid w:val="23B566D2"/>
    <w:rsid w:val="25395621"/>
    <w:rsid w:val="25BD3A72"/>
    <w:rsid w:val="2886653D"/>
    <w:rsid w:val="29E654E5"/>
    <w:rsid w:val="2BBE7D9C"/>
    <w:rsid w:val="2D6D7CCB"/>
    <w:rsid w:val="37B81B43"/>
    <w:rsid w:val="3D804EB1"/>
    <w:rsid w:val="3F634A8A"/>
    <w:rsid w:val="3F7E7114"/>
    <w:rsid w:val="413E57AF"/>
    <w:rsid w:val="424C5CAA"/>
    <w:rsid w:val="4665733A"/>
    <w:rsid w:val="51BD627C"/>
    <w:rsid w:val="542E16B3"/>
    <w:rsid w:val="5F506981"/>
    <w:rsid w:val="62E15898"/>
    <w:rsid w:val="6E217ABF"/>
    <w:rsid w:val="7152067A"/>
    <w:rsid w:val="7A020420"/>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636</Words>
  <Characters>3630</Characters>
  <Lines>30</Lines>
  <Paragraphs>8</Paragraphs>
  <TotalTime>9</TotalTime>
  <ScaleCrop>false</ScaleCrop>
  <LinksUpToDate>false</LinksUpToDate>
  <CharactersWithSpaces>4258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2018-01-24T03:39:00Z</dcterms:created>
  <dc:creator>孟乐乐</dc:creator>
  <cp:lastModifiedBy>刘哲</cp:lastModifiedBy>
  <dcterms:modified xsi:type="dcterms:W3CDTF">2022-01-07T09:07:29Z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360C5481364640329D7322293EDECF5F</vt:lpwstr>
  </property>
</Properties>
</file>